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C2D" w:rsidP="00471319">
            <w:pPr>
              <w:rPr>
                <w:rStyle w:val="Firstpagetablebold"/>
              </w:rPr>
            </w:pPr>
            <w:r>
              <w:rPr>
                <w:rStyle w:val="Firstpagetablebold"/>
              </w:rPr>
              <w:t>Housing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45218" w:rsidP="005D0621">
            <w:pPr>
              <w:rPr>
                <w:b/>
              </w:rPr>
            </w:pPr>
            <w:r>
              <w:rPr>
                <w:rStyle w:val="Firstpagetablebold"/>
              </w:rPr>
              <w:t>13</w:t>
            </w:r>
            <w:r w:rsidRPr="00045218">
              <w:rPr>
                <w:rStyle w:val="Firstpagetablebold"/>
                <w:vertAlign w:val="superscript"/>
              </w:rPr>
              <w:t>th</w:t>
            </w:r>
            <w:r>
              <w:rPr>
                <w:rStyle w:val="Firstpagetablebold"/>
              </w:rPr>
              <w:t xml:space="preserve"> November</w:t>
            </w:r>
            <w:r w:rsidR="00F44C2D">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3F70" w:rsidP="004A6D2F">
            <w:pPr>
              <w:rPr>
                <w:rStyle w:val="Firstpagetablebold"/>
              </w:rPr>
            </w:pPr>
            <w:r>
              <w:rPr>
                <w:rStyle w:val="Firstpagetablebold"/>
              </w:rPr>
              <w:t>Head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45218" w:rsidP="008A3F70">
            <w:pPr>
              <w:rPr>
                <w:rStyle w:val="Firstpagetablebold"/>
              </w:rPr>
            </w:pPr>
            <w:r>
              <w:rPr>
                <w:rStyle w:val="Firstpagetablebold"/>
              </w:rPr>
              <w:t>Void Property Management</w:t>
            </w:r>
            <w:r w:rsidR="00F44C2D">
              <w:rPr>
                <w:rStyle w:val="Firstpagetablebold"/>
              </w:rPr>
              <w:t xml:space="preserve"> </w:t>
            </w:r>
          </w:p>
        </w:tc>
      </w:tr>
    </w:tbl>
    <w:p w:rsidR="004F20EF" w:rsidRDefault="004F20EF" w:rsidP="004A6D2F"/>
    <w:tbl>
      <w:tblPr>
        <w:tblW w:w="9356" w:type="dxa"/>
        <w:tblInd w:w="108" w:type="dxa"/>
        <w:tblLook w:val="04A0" w:firstRow="1" w:lastRow="0" w:firstColumn="1" w:lastColumn="0" w:noHBand="0" w:noVBand="1"/>
      </w:tblPr>
      <w:tblGrid>
        <w:gridCol w:w="426"/>
        <w:gridCol w:w="2012"/>
        <w:gridCol w:w="823"/>
        <w:gridCol w:w="6095"/>
      </w:tblGrid>
      <w:tr w:rsidR="00D5547E" w:rsidTr="009D2744">
        <w:tc>
          <w:tcPr>
            <w:tcW w:w="9356" w:type="dxa"/>
            <w:gridSpan w:val="4"/>
            <w:tcBorders>
              <w:top w:val="single" w:sz="4" w:space="0" w:color="auto"/>
              <w:left w:val="single" w:sz="4" w:space="0" w:color="auto"/>
              <w:right w:val="single" w:sz="4" w:space="0" w:color="auto"/>
            </w:tcBorders>
            <w:hideMark/>
          </w:tcPr>
          <w:p w:rsidR="00D5547E" w:rsidRDefault="00745BF0" w:rsidP="009D2744">
            <w:pPr>
              <w:rPr>
                <w:rStyle w:val="Firstpagetablebold"/>
              </w:rPr>
            </w:pPr>
            <w:r>
              <w:rPr>
                <w:rStyle w:val="Firstpagetablebold"/>
              </w:rPr>
              <w:t>Summary and r</w:t>
            </w:r>
            <w:r w:rsidR="00D5547E">
              <w:rPr>
                <w:rStyle w:val="Firstpagetablebold"/>
              </w:rPr>
              <w:t>ecommendations</w:t>
            </w:r>
          </w:p>
        </w:tc>
      </w:tr>
      <w:tr w:rsidR="00D5547E" w:rsidTr="009D2744">
        <w:trPr>
          <w:trHeight w:val="1128"/>
        </w:trPr>
        <w:tc>
          <w:tcPr>
            <w:tcW w:w="3261" w:type="dxa"/>
            <w:gridSpan w:val="3"/>
            <w:tcBorders>
              <w:left w:val="single" w:sz="4" w:space="0" w:color="auto"/>
            </w:tcBorders>
            <w:hideMark/>
          </w:tcPr>
          <w:p w:rsidR="00D5547E" w:rsidRPr="008A3F70" w:rsidRDefault="00D5547E" w:rsidP="008A3F70">
            <w:pPr>
              <w:rPr>
                <w:rStyle w:val="Firstpagetablebold"/>
              </w:rPr>
            </w:pPr>
            <w:r w:rsidRPr="008A3F70">
              <w:rPr>
                <w:rStyle w:val="Firstpagetablebold"/>
              </w:rPr>
              <w:t>Purpose of report:</w:t>
            </w:r>
          </w:p>
          <w:p w:rsidR="00471319" w:rsidRPr="008A3F70" w:rsidRDefault="00471319" w:rsidP="008A3F70">
            <w:pPr>
              <w:rPr>
                <w:rStyle w:val="Firstpagetablebold"/>
              </w:rPr>
            </w:pPr>
          </w:p>
          <w:p w:rsidR="008A3F70" w:rsidRPr="008A3F70" w:rsidRDefault="008A3F70" w:rsidP="008A3F70">
            <w:pPr>
              <w:rPr>
                <w:rStyle w:val="Firstpagetablebold"/>
              </w:rPr>
            </w:pPr>
          </w:p>
        </w:tc>
        <w:tc>
          <w:tcPr>
            <w:tcW w:w="6095" w:type="dxa"/>
            <w:tcBorders>
              <w:right w:val="single" w:sz="4" w:space="0" w:color="auto"/>
            </w:tcBorders>
            <w:hideMark/>
          </w:tcPr>
          <w:p w:rsidR="008A3F70" w:rsidRPr="008A3F70" w:rsidRDefault="00F44C2D" w:rsidP="00045218">
            <w:r w:rsidRPr="008A3F70">
              <w:t xml:space="preserve">To </w:t>
            </w:r>
            <w:r w:rsidR="008A3F70" w:rsidRPr="008A3F70">
              <w:t xml:space="preserve">provide members with an </w:t>
            </w:r>
            <w:r w:rsidR="00045218">
              <w:t>update on the management of void residential properties.</w:t>
            </w:r>
          </w:p>
        </w:tc>
      </w:tr>
      <w:tr w:rsidR="008A3F70" w:rsidTr="009D2744">
        <w:trPr>
          <w:trHeight w:val="848"/>
        </w:trPr>
        <w:tc>
          <w:tcPr>
            <w:tcW w:w="3261" w:type="dxa"/>
            <w:gridSpan w:val="3"/>
            <w:tcBorders>
              <w:left w:val="single" w:sz="4" w:space="0" w:color="auto"/>
            </w:tcBorders>
          </w:tcPr>
          <w:p w:rsidR="008A3F70" w:rsidRPr="008A3F70" w:rsidRDefault="008A3F70" w:rsidP="008A3F70">
            <w:pPr>
              <w:rPr>
                <w:rStyle w:val="Firstpagetablebold"/>
              </w:rPr>
            </w:pPr>
            <w:r w:rsidRPr="008A3F70">
              <w:rPr>
                <w:rStyle w:val="Firstpagetablebold"/>
              </w:rPr>
              <w:t>Key Decision</w:t>
            </w:r>
          </w:p>
        </w:tc>
        <w:tc>
          <w:tcPr>
            <w:tcW w:w="6095" w:type="dxa"/>
            <w:tcBorders>
              <w:right w:val="single" w:sz="4" w:space="0" w:color="auto"/>
            </w:tcBorders>
          </w:tcPr>
          <w:p w:rsidR="008A3F70" w:rsidRPr="008A3F70" w:rsidRDefault="008A3F70" w:rsidP="008A3F70">
            <w:r w:rsidRPr="008A3F70">
              <w:t>No</w:t>
            </w:r>
          </w:p>
        </w:tc>
      </w:tr>
      <w:tr w:rsidR="008A3F70" w:rsidTr="009D2744">
        <w:trPr>
          <w:trHeight w:val="800"/>
        </w:trPr>
        <w:tc>
          <w:tcPr>
            <w:tcW w:w="3261" w:type="dxa"/>
            <w:gridSpan w:val="3"/>
            <w:tcBorders>
              <w:left w:val="single" w:sz="4" w:space="0" w:color="auto"/>
            </w:tcBorders>
          </w:tcPr>
          <w:p w:rsidR="008A3F70" w:rsidRPr="008A3F70" w:rsidRDefault="008A3F70" w:rsidP="008A3F70">
            <w:pPr>
              <w:rPr>
                <w:rStyle w:val="Firstpagetablebold"/>
              </w:rPr>
            </w:pPr>
            <w:r w:rsidRPr="008A3F70">
              <w:rPr>
                <w:rStyle w:val="Firstpagetablebold"/>
              </w:rPr>
              <w:t>Executive Lead Member</w:t>
            </w:r>
          </w:p>
        </w:tc>
        <w:tc>
          <w:tcPr>
            <w:tcW w:w="6095" w:type="dxa"/>
            <w:tcBorders>
              <w:right w:val="single" w:sz="4" w:space="0" w:color="auto"/>
            </w:tcBorders>
          </w:tcPr>
          <w:p w:rsidR="008A3F70" w:rsidRPr="008A3F70" w:rsidRDefault="008A3F70" w:rsidP="008A3F70">
            <w:r w:rsidRPr="008A3F70">
              <w:t>Councillor Mike Rowley, Board Member for Housing</w:t>
            </w:r>
          </w:p>
        </w:tc>
      </w:tr>
      <w:tr w:rsidR="00471319" w:rsidTr="009D2744">
        <w:trPr>
          <w:trHeight w:val="531"/>
        </w:trPr>
        <w:tc>
          <w:tcPr>
            <w:tcW w:w="3261" w:type="dxa"/>
            <w:gridSpan w:val="3"/>
            <w:tcBorders>
              <w:left w:val="single" w:sz="4" w:space="0" w:color="auto"/>
            </w:tcBorders>
          </w:tcPr>
          <w:p w:rsidR="00471319" w:rsidRDefault="00471319" w:rsidP="008A3F70">
            <w:pPr>
              <w:rPr>
                <w:rStyle w:val="Firstpagetablebold"/>
              </w:rPr>
            </w:pPr>
            <w:r>
              <w:rPr>
                <w:rStyle w:val="Firstpagetablebold"/>
              </w:rPr>
              <w:t>Corporate Priority</w:t>
            </w:r>
          </w:p>
        </w:tc>
        <w:tc>
          <w:tcPr>
            <w:tcW w:w="6095" w:type="dxa"/>
            <w:tcBorders>
              <w:right w:val="single" w:sz="4" w:space="0" w:color="auto"/>
            </w:tcBorders>
          </w:tcPr>
          <w:p w:rsidR="00D57F03" w:rsidRDefault="008A3F70" w:rsidP="008A3F70">
            <w:r>
              <w:t xml:space="preserve">An </w:t>
            </w:r>
            <w:r w:rsidR="00BF3139">
              <w:t>E</w:t>
            </w:r>
            <w:r>
              <w:t>ffective and Efficient Council</w:t>
            </w:r>
          </w:p>
          <w:p w:rsidR="008A3F70" w:rsidRPr="001356F1" w:rsidRDefault="008A3F70" w:rsidP="008A3F70"/>
        </w:tc>
      </w:tr>
      <w:tr w:rsidR="00D57F03" w:rsidTr="009D2744">
        <w:trPr>
          <w:trHeight w:val="531"/>
        </w:trPr>
        <w:tc>
          <w:tcPr>
            <w:tcW w:w="3261" w:type="dxa"/>
            <w:gridSpan w:val="3"/>
            <w:tcBorders>
              <w:left w:val="single" w:sz="4" w:space="0" w:color="auto"/>
              <w:bottom w:val="single" w:sz="4" w:space="0" w:color="auto"/>
            </w:tcBorders>
          </w:tcPr>
          <w:p w:rsidR="00D57F03" w:rsidRDefault="00DC0178" w:rsidP="008A3F70">
            <w:pPr>
              <w:rPr>
                <w:rStyle w:val="Firstpagetablebold"/>
              </w:rPr>
            </w:pPr>
            <w:r>
              <w:rPr>
                <w:rStyle w:val="Firstpagetablebold"/>
              </w:rPr>
              <w:t>Report Author</w:t>
            </w:r>
          </w:p>
        </w:tc>
        <w:tc>
          <w:tcPr>
            <w:tcW w:w="6095" w:type="dxa"/>
            <w:tcBorders>
              <w:bottom w:val="single" w:sz="4" w:space="0" w:color="auto"/>
              <w:right w:val="single" w:sz="4" w:space="0" w:color="auto"/>
            </w:tcBorders>
          </w:tcPr>
          <w:p w:rsidR="00D57F03" w:rsidRDefault="00045218" w:rsidP="008A3F70">
            <w:r>
              <w:t>Bill Graves, Landlord Services Manager</w:t>
            </w:r>
          </w:p>
        </w:tc>
      </w:tr>
      <w:tr w:rsidR="005F7F7E" w:rsidRPr="00975B07" w:rsidTr="009D2744">
        <w:trPr>
          <w:trHeight w:val="413"/>
        </w:trPr>
        <w:tc>
          <w:tcPr>
            <w:tcW w:w="9356" w:type="dxa"/>
            <w:gridSpan w:val="4"/>
            <w:tcBorders>
              <w:top w:val="single" w:sz="4" w:space="0" w:color="auto"/>
            </w:tcBorders>
          </w:tcPr>
          <w:p w:rsidR="008A3F70" w:rsidRDefault="008A3F70" w:rsidP="008A3F70">
            <w:pPr>
              <w:rPr>
                <w:rStyle w:val="Firstpagetablebold"/>
              </w:rPr>
            </w:pPr>
          </w:p>
          <w:p w:rsidR="005F7F7E" w:rsidRPr="00975B07" w:rsidRDefault="00E108F7" w:rsidP="00E108F7">
            <w:r>
              <w:rPr>
                <w:rStyle w:val="Firstpagetablebold"/>
              </w:rPr>
              <w:t>Recommendation</w:t>
            </w:r>
            <w:r w:rsidR="005F7F7E">
              <w:rPr>
                <w:rStyle w:val="Firstpagetablebold"/>
              </w:rPr>
              <w:t>:</w:t>
            </w:r>
          </w:p>
        </w:tc>
      </w:tr>
      <w:tr w:rsidR="0030208D" w:rsidRPr="00975B07" w:rsidTr="009D2744">
        <w:trPr>
          <w:trHeight w:val="64"/>
        </w:trPr>
        <w:tc>
          <w:tcPr>
            <w:tcW w:w="426" w:type="dxa"/>
          </w:tcPr>
          <w:p w:rsidR="0030208D" w:rsidRPr="00975B07" w:rsidRDefault="00046D2B" w:rsidP="008A3F70">
            <w:r w:rsidRPr="00975B07">
              <w:t>1.</w:t>
            </w:r>
          </w:p>
        </w:tc>
        <w:tc>
          <w:tcPr>
            <w:tcW w:w="8930" w:type="dxa"/>
            <w:gridSpan w:val="3"/>
            <w:shd w:val="clear" w:color="auto" w:fill="auto"/>
          </w:tcPr>
          <w:p w:rsidR="0030208D" w:rsidRPr="001356F1" w:rsidRDefault="00381FED" w:rsidP="008A3F70">
            <w:r>
              <w:rPr>
                <w:rStyle w:val="Firstpagetablebold"/>
              </w:rPr>
              <w:t>The Housing Panel is asked to note the contents of this report</w:t>
            </w:r>
          </w:p>
        </w:tc>
      </w:tr>
      <w:tr w:rsidR="00232F5B" w:rsidRPr="00975B07" w:rsidTr="009D2744">
        <w:trPr>
          <w:trHeight w:val="84"/>
        </w:trPr>
        <w:tc>
          <w:tcPr>
            <w:tcW w:w="426" w:type="dxa"/>
          </w:tcPr>
          <w:p w:rsidR="0030208D" w:rsidRPr="00975B07" w:rsidRDefault="0030208D" w:rsidP="008A3F70"/>
        </w:tc>
        <w:tc>
          <w:tcPr>
            <w:tcW w:w="8930" w:type="dxa"/>
            <w:gridSpan w:val="3"/>
            <w:shd w:val="clear" w:color="auto" w:fill="auto"/>
          </w:tcPr>
          <w:p w:rsidR="0030208D" w:rsidRPr="001356F1" w:rsidRDefault="0030208D" w:rsidP="008A3F70"/>
        </w:tc>
      </w:tr>
      <w:tr w:rsidR="00966D42"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918" w:type="dxa"/>
            <w:gridSpan w:val="2"/>
            <w:tcBorders>
              <w:top w:val="single" w:sz="8" w:space="0" w:color="000000"/>
              <w:left w:val="nil"/>
              <w:bottom w:val="nil"/>
              <w:right w:val="single" w:sz="8" w:space="0" w:color="000000"/>
            </w:tcBorders>
          </w:tcPr>
          <w:p w:rsidR="00ED5860" w:rsidRPr="001356F1" w:rsidRDefault="002859FE" w:rsidP="004A6D2F">
            <w:r>
              <w:t>Voids Service Agreement</w:t>
            </w:r>
          </w:p>
        </w:tc>
      </w:tr>
      <w:tr w:rsidR="00045218"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045218" w:rsidRPr="00975B07" w:rsidRDefault="00F91F70" w:rsidP="004A6D2F">
            <w:r>
              <w:t>Appendix 2</w:t>
            </w:r>
          </w:p>
        </w:tc>
        <w:tc>
          <w:tcPr>
            <w:tcW w:w="6918" w:type="dxa"/>
            <w:gridSpan w:val="2"/>
            <w:tcBorders>
              <w:top w:val="nil"/>
              <w:left w:val="nil"/>
              <w:bottom w:val="nil"/>
              <w:right w:val="single" w:sz="8" w:space="0" w:color="000000"/>
            </w:tcBorders>
          </w:tcPr>
          <w:p w:rsidR="00045218" w:rsidRPr="001356F1" w:rsidRDefault="00270F40" w:rsidP="00270F40">
            <w:r>
              <w:t xml:space="preserve">Tenancy Management Restructure Briefing </w:t>
            </w:r>
          </w:p>
        </w:tc>
      </w:tr>
      <w:tr w:rsidR="00045218"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045218" w:rsidRPr="00975B07" w:rsidRDefault="00F91F70" w:rsidP="004A6D2F">
            <w:r>
              <w:t>Appendix 3</w:t>
            </w:r>
          </w:p>
        </w:tc>
        <w:tc>
          <w:tcPr>
            <w:tcW w:w="6918" w:type="dxa"/>
            <w:gridSpan w:val="2"/>
            <w:tcBorders>
              <w:top w:val="nil"/>
              <w:left w:val="nil"/>
              <w:bottom w:val="nil"/>
              <w:right w:val="single" w:sz="8" w:space="0" w:color="000000"/>
            </w:tcBorders>
          </w:tcPr>
          <w:p w:rsidR="00045218" w:rsidRPr="001356F1" w:rsidRDefault="00270F40" w:rsidP="004A6D2F">
            <w:r>
              <w:t>Empty and Void Property Management Audit</w:t>
            </w:r>
          </w:p>
        </w:tc>
      </w:tr>
      <w:tr w:rsidR="00045218"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045218" w:rsidRDefault="00816489" w:rsidP="004A6D2F">
            <w:r>
              <w:t>Appendix 4</w:t>
            </w:r>
          </w:p>
          <w:p w:rsidR="00F60B2B" w:rsidRPr="00975B07" w:rsidRDefault="00F60B2B" w:rsidP="004A6D2F">
            <w:r>
              <w:t>Appendix 5</w:t>
            </w:r>
          </w:p>
        </w:tc>
        <w:tc>
          <w:tcPr>
            <w:tcW w:w="6918" w:type="dxa"/>
            <w:gridSpan w:val="2"/>
            <w:tcBorders>
              <w:top w:val="nil"/>
              <w:left w:val="nil"/>
              <w:bottom w:val="single" w:sz="8" w:space="0" w:color="000000"/>
              <w:right w:val="single" w:sz="8" w:space="0" w:color="000000"/>
            </w:tcBorders>
          </w:tcPr>
          <w:p w:rsidR="00045218" w:rsidRDefault="00816489" w:rsidP="004A6D2F">
            <w:r>
              <w:t>Void Property Performance</w:t>
            </w:r>
          </w:p>
          <w:p w:rsidR="00F60B2B" w:rsidRPr="001356F1" w:rsidRDefault="00F60B2B" w:rsidP="004A6D2F">
            <w:r>
              <w:t>Knights House Show Flat</w:t>
            </w:r>
          </w:p>
        </w:tc>
      </w:tr>
    </w:tbl>
    <w:p w:rsidR="00C44BAE" w:rsidRDefault="00C44BAE" w:rsidP="004A6D2F">
      <w:pPr>
        <w:pStyle w:val="Heading1"/>
      </w:pPr>
    </w:p>
    <w:p w:rsidR="009704AE" w:rsidRDefault="009704AE">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2859FE" w:rsidRDefault="006B3551" w:rsidP="00F91F70">
      <w:pPr>
        <w:pStyle w:val="ListParagraph"/>
        <w:numPr>
          <w:ilvl w:val="0"/>
          <w:numId w:val="44"/>
        </w:numPr>
        <w:tabs>
          <w:tab w:val="left" w:pos="0"/>
        </w:tabs>
        <w:spacing w:after="0"/>
        <w:contextualSpacing/>
      </w:pPr>
      <w:r>
        <w:t xml:space="preserve">The </w:t>
      </w:r>
      <w:r w:rsidR="00045218">
        <w:t>management of the Council’s void residential properties is carried out by three service teams, Tenancy Management and Allocations in Housing &amp; Property Services and Void Works in Direct Services.</w:t>
      </w:r>
    </w:p>
    <w:p w:rsidR="002859FE" w:rsidRDefault="002859FE" w:rsidP="00F91F70">
      <w:pPr>
        <w:pStyle w:val="ListParagraph"/>
        <w:numPr>
          <w:ilvl w:val="0"/>
          <w:numId w:val="0"/>
        </w:numPr>
        <w:tabs>
          <w:tab w:val="clear" w:pos="426"/>
          <w:tab w:val="left" w:pos="0"/>
        </w:tabs>
        <w:spacing w:after="0"/>
        <w:ind w:left="360"/>
        <w:contextualSpacing/>
      </w:pPr>
    </w:p>
    <w:p w:rsidR="002859FE" w:rsidRDefault="00762ECF" w:rsidP="00F91F70">
      <w:pPr>
        <w:pStyle w:val="ListParagraph"/>
        <w:numPr>
          <w:ilvl w:val="0"/>
          <w:numId w:val="44"/>
        </w:numPr>
        <w:tabs>
          <w:tab w:val="left" w:pos="0"/>
        </w:tabs>
        <w:spacing w:after="0"/>
        <w:contextualSpacing/>
      </w:pPr>
      <w:r>
        <w:t xml:space="preserve">The </w:t>
      </w:r>
      <w:r w:rsidR="002859FE">
        <w:t xml:space="preserve">roles and responsibilities of the respective teams are set out in Appendix 1 – </w:t>
      </w:r>
      <w:r w:rsidR="00270F40">
        <w:t>Voids Service Agreement.</w:t>
      </w:r>
    </w:p>
    <w:p w:rsidR="002859FE" w:rsidRDefault="002859FE" w:rsidP="00F91F70">
      <w:pPr>
        <w:pStyle w:val="ListParagraph"/>
        <w:numPr>
          <w:ilvl w:val="0"/>
          <w:numId w:val="0"/>
        </w:numPr>
        <w:ind w:left="360"/>
      </w:pPr>
    </w:p>
    <w:p w:rsidR="00F91F70" w:rsidRDefault="002859FE" w:rsidP="00F91F70">
      <w:pPr>
        <w:pStyle w:val="ListParagraph"/>
        <w:numPr>
          <w:ilvl w:val="0"/>
          <w:numId w:val="44"/>
        </w:numPr>
        <w:tabs>
          <w:tab w:val="left" w:pos="0"/>
        </w:tabs>
        <w:spacing w:after="0"/>
        <w:contextualSpacing/>
      </w:pPr>
      <w:r>
        <w:t xml:space="preserve">Prior to December 2015, the work currently done by </w:t>
      </w:r>
      <w:r w:rsidR="00170951">
        <w:t xml:space="preserve">Tenancy Management </w:t>
      </w:r>
      <w:r>
        <w:t xml:space="preserve">sat in the Void Property team in Direct Services. The Void Property team functions were subsumed into the Tenancy Management </w:t>
      </w:r>
      <w:r w:rsidR="00170951">
        <w:t xml:space="preserve">team </w:t>
      </w:r>
      <w:r>
        <w:t>at that time</w:t>
      </w:r>
      <w:r w:rsidR="00F91F70">
        <w:t xml:space="preserve"> although this was not operational on void properties until April/May 2016. The rationale behind this restructure was sent to members of the Audit Committee in summer 2016</w:t>
      </w:r>
      <w:r w:rsidR="00270F40">
        <w:t xml:space="preserve"> and is shown as Appendix 2 – Tenancy Management Restructure Briefing</w:t>
      </w:r>
      <w:r w:rsidR="00F91F70">
        <w:t>.</w:t>
      </w:r>
    </w:p>
    <w:p w:rsidR="00F91F70" w:rsidRDefault="00F91F70" w:rsidP="00F91F70">
      <w:pPr>
        <w:ind w:left="360"/>
      </w:pPr>
    </w:p>
    <w:p w:rsidR="00F91F70" w:rsidRDefault="00F91F70" w:rsidP="00F91F70">
      <w:pPr>
        <w:pStyle w:val="ListParagraph"/>
        <w:numPr>
          <w:ilvl w:val="0"/>
          <w:numId w:val="44"/>
        </w:numPr>
        <w:tabs>
          <w:tab w:val="left" w:pos="0"/>
        </w:tabs>
        <w:spacing w:after="0"/>
        <w:contextualSpacing/>
      </w:pPr>
      <w:r>
        <w:t>The Council’s Internal Auditors, BDO, carried</w:t>
      </w:r>
      <w:r w:rsidR="00270F40">
        <w:t xml:space="preserve"> out an</w:t>
      </w:r>
      <w:r>
        <w:t xml:space="preserve"> audit of Empty and Void Property Management in June 2016. This</w:t>
      </w:r>
      <w:r w:rsidR="00270F40">
        <w:t xml:space="preserve"> identified the same view of managers in that many of the previous procedures and processes needed to be re-engineered to work within a generic working environment rather than a specialised one</w:t>
      </w:r>
    </w:p>
    <w:p w:rsidR="00F91F70" w:rsidRDefault="00F91F70" w:rsidP="00F91F70"/>
    <w:p w:rsidR="00F91F70" w:rsidRDefault="00270F40" w:rsidP="00F91F70">
      <w:pPr>
        <w:pStyle w:val="ListParagraph"/>
        <w:numPr>
          <w:ilvl w:val="0"/>
          <w:numId w:val="44"/>
        </w:numPr>
        <w:tabs>
          <w:tab w:val="left" w:pos="0"/>
        </w:tabs>
        <w:spacing w:after="0"/>
        <w:contextualSpacing/>
      </w:pPr>
      <w:r>
        <w:t>Throughout 2016, officers revised process and procedures and adopted the Voids Service Agreement, s</w:t>
      </w:r>
      <w:r w:rsidR="00816489">
        <w:t xml:space="preserve">etting out the responsibilities </w:t>
      </w:r>
      <w:r>
        <w:t>of the teams.</w:t>
      </w:r>
    </w:p>
    <w:p w:rsidR="00816489" w:rsidRDefault="00816489" w:rsidP="00F60B2B">
      <w:pPr>
        <w:ind w:left="360" w:hanging="360"/>
      </w:pPr>
    </w:p>
    <w:p w:rsidR="00816489" w:rsidRDefault="00816489" w:rsidP="00F91F70">
      <w:pPr>
        <w:pStyle w:val="ListParagraph"/>
        <w:numPr>
          <w:ilvl w:val="0"/>
          <w:numId w:val="44"/>
        </w:numPr>
        <w:tabs>
          <w:tab w:val="left" w:pos="0"/>
        </w:tabs>
        <w:spacing w:after="0"/>
        <w:contextualSpacing/>
      </w:pPr>
      <w:r>
        <w:t>Operational Managers from each of the service areas meet on a weekly basis to discuss current voids</w:t>
      </w:r>
      <w:r w:rsidR="00F60B2B">
        <w:t>, capacity</w:t>
      </w:r>
      <w:r>
        <w:t>, forthcoming void</w:t>
      </w:r>
      <w:r w:rsidR="00F60B2B">
        <w:t>s</w:t>
      </w:r>
      <w:r>
        <w:t xml:space="preserve"> that are on notice</w:t>
      </w:r>
      <w:r w:rsidR="00F60B2B">
        <w:t>, prioritising where required,</w:t>
      </w:r>
      <w:r>
        <w:t xml:space="preserve"> and voids that have recently been re-let to learn any lessons. </w:t>
      </w:r>
    </w:p>
    <w:p w:rsidR="00F60B2B" w:rsidRDefault="00F60B2B" w:rsidP="00F60B2B"/>
    <w:p w:rsidR="00F60B2B" w:rsidRDefault="00F60B2B" w:rsidP="00F91F70">
      <w:pPr>
        <w:pStyle w:val="ListParagraph"/>
        <w:numPr>
          <w:ilvl w:val="0"/>
          <w:numId w:val="44"/>
        </w:numPr>
        <w:tabs>
          <w:tab w:val="left" w:pos="0"/>
        </w:tabs>
        <w:spacing w:after="0"/>
        <w:contextualSpacing/>
      </w:pPr>
      <w:r>
        <w:t>Measures required to deal with hard to let properties are also agreed. An example is the show flat approach in Knights House, where a flat that had been empty for seven months with no demand was let within two weeks of being advertised with carpets and furniture. See Appendix 5 – Knights House Show Flat</w:t>
      </w:r>
    </w:p>
    <w:p w:rsidR="00F91F70" w:rsidRDefault="00F91F70" w:rsidP="00F91F70">
      <w:pPr>
        <w:tabs>
          <w:tab w:val="left" w:pos="0"/>
        </w:tabs>
        <w:spacing w:after="0"/>
        <w:contextualSpacing/>
      </w:pPr>
    </w:p>
    <w:p w:rsidR="00633578" w:rsidRDefault="00270F40" w:rsidP="00C46CF2">
      <w:pPr>
        <w:pStyle w:val="Heading1"/>
      </w:pPr>
      <w:r>
        <w:t>Performance Improvement</w:t>
      </w:r>
    </w:p>
    <w:p w:rsidR="00607BDF" w:rsidRDefault="00607BDF" w:rsidP="00984BA5">
      <w:pPr>
        <w:pStyle w:val="ListParagraph"/>
        <w:numPr>
          <w:ilvl w:val="0"/>
          <w:numId w:val="44"/>
        </w:numPr>
        <w:tabs>
          <w:tab w:val="left" w:pos="0"/>
        </w:tabs>
        <w:spacing w:after="0"/>
        <w:contextualSpacing/>
      </w:pPr>
      <w:r>
        <w:t xml:space="preserve">The re-let time performance </w:t>
      </w:r>
      <w:r w:rsidR="00984BA5">
        <w:t xml:space="preserve">for 2016-17 and 2017-18 </w:t>
      </w:r>
      <w:r>
        <w:t xml:space="preserve">is shown in Appendix 4 – Void Property Performance. </w:t>
      </w:r>
    </w:p>
    <w:p w:rsidR="00984BA5" w:rsidRDefault="00984BA5" w:rsidP="00984BA5">
      <w:pPr>
        <w:pStyle w:val="ListParagraph"/>
        <w:numPr>
          <w:ilvl w:val="0"/>
          <w:numId w:val="0"/>
        </w:numPr>
        <w:tabs>
          <w:tab w:val="left" w:pos="0"/>
        </w:tabs>
        <w:spacing w:after="0"/>
        <w:ind w:left="720"/>
        <w:contextualSpacing/>
      </w:pPr>
    </w:p>
    <w:p w:rsidR="00607BDF" w:rsidRDefault="00607BDF" w:rsidP="00984BA5">
      <w:pPr>
        <w:pStyle w:val="ListParagraph"/>
        <w:numPr>
          <w:ilvl w:val="0"/>
          <w:numId w:val="44"/>
        </w:numPr>
        <w:tabs>
          <w:tab w:val="left" w:pos="0"/>
        </w:tabs>
        <w:spacing w:after="0"/>
        <w:contextualSpacing/>
      </w:pPr>
      <w:r>
        <w:t xml:space="preserve">The overall performance for the year 2015/16 was in the bottom quartile at 34.3 days with performance in March 2106 slipping to 40.1days. </w:t>
      </w:r>
    </w:p>
    <w:p w:rsidR="00984BA5" w:rsidRDefault="00984BA5" w:rsidP="00984BA5">
      <w:pPr>
        <w:pStyle w:val="ListParagraph"/>
        <w:numPr>
          <w:ilvl w:val="0"/>
          <w:numId w:val="0"/>
        </w:numPr>
        <w:ind w:left="360"/>
      </w:pPr>
    </w:p>
    <w:p w:rsidR="00607BDF" w:rsidRDefault="00607BDF" w:rsidP="00984BA5">
      <w:pPr>
        <w:pStyle w:val="ListParagraph"/>
        <w:numPr>
          <w:ilvl w:val="0"/>
          <w:numId w:val="44"/>
        </w:numPr>
        <w:tabs>
          <w:tab w:val="left" w:pos="0"/>
        </w:tabs>
        <w:spacing w:after="0"/>
        <w:contextualSpacing/>
      </w:pPr>
      <w:r>
        <w:t xml:space="preserve">The improvements to process took a considerable time to bed in and results only started to significantly improve in early 2017. This was a combination of working through the processes and staff having to learn a new job role. </w:t>
      </w:r>
    </w:p>
    <w:p w:rsidR="00984BA5" w:rsidRDefault="00984BA5" w:rsidP="00984BA5">
      <w:pPr>
        <w:pStyle w:val="ListParagraph"/>
        <w:numPr>
          <w:ilvl w:val="0"/>
          <w:numId w:val="0"/>
        </w:numPr>
        <w:ind w:left="360"/>
      </w:pPr>
    </w:p>
    <w:p w:rsidR="00607BDF" w:rsidRDefault="00607BDF" w:rsidP="00984BA5">
      <w:pPr>
        <w:pStyle w:val="ListParagraph"/>
        <w:numPr>
          <w:ilvl w:val="0"/>
          <w:numId w:val="44"/>
        </w:numPr>
        <w:tabs>
          <w:tab w:val="left" w:pos="0"/>
        </w:tabs>
        <w:spacing w:after="0"/>
        <w:contextualSpacing/>
      </w:pPr>
      <w:r>
        <w:lastRenderedPageBreak/>
        <w:t xml:space="preserve">The targets set for performance are 21 days for a standard general needs void and 31 days for standard and major works general needs voids combined. </w:t>
      </w:r>
    </w:p>
    <w:p w:rsidR="00984BA5" w:rsidRDefault="00984BA5" w:rsidP="00984BA5">
      <w:pPr>
        <w:pStyle w:val="ListParagraph"/>
        <w:numPr>
          <w:ilvl w:val="0"/>
          <w:numId w:val="0"/>
        </w:numPr>
        <w:tabs>
          <w:tab w:val="left" w:pos="0"/>
        </w:tabs>
        <w:spacing w:after="0"/>
        <w:ind w:left="720"/>
        <w:contextualSpacing/>
      </w:pPr>
    </w:p>
    <w:p w:rsidR="00A0177B" w:rsidRDefault="00A0177B" w:rsidP="00984BA5">
      <w:pPr>
        <w:pStyle w:val="ListParagraph"/>
        <w:numPr>
          <w:ilvl w:val="0"/>
          <w:numId w:val="44"/>
        </w:numPr>
        <w:tabs>
          <w:tab w:val="left" w:pos="0"/>
        </w:tabs>
        <w:spacing w:after="0"/>
        <w:contextualSpacing/>
      </w:pPr>
      <w:r>
        <w:t>The performance improvement has been significant with standard voids now being re-let in less than 15 days on average and standard and major works voids combined less than 18 days. Figure</w:t>
      </w:r>
      <w:r w:rsidR="00984BA5">
        <w:t>s</w:t>
      </w:r>
      <w:r>
        <w:t xml:space="preserve"> are accurate up to and including 24 October 2017.</w:t>
      </w:r>
    </w:p>
    <w:p w:rsidR="00984BA5" w:rsidRDefault="00984BA5" w:rsidP="00984BA5">
      <w:pPr>
        <w:pStyle w:val="ListParagraph"/>
        <w:numPr>
          <w:ilvl w:val="0"/>
          <w:numId w:val="0"/>
        </w:numPr>
        <w:tabs>
          <w:tab w:val="left" w:pos="0"/>
        </w:tabs>
        <w:spacing w:after="0"/>
        <w:ind w:left="720"/>
        <w:contextualSpacing/>
      </w:pPr>
    </w:p>
    <w:p w:rsidR="00816489" w:rsidRDefault="00607BDF" w:rsidP="00984BA5">
      <w:pPr>
        <w:pStyle w:val="ListParagraph"/>
        <w:numPr>
          <w:ilvl w:val="0"/>
          <w:numId w:val="44"/>
        </w:numPr>
        <w:tabs>
          <w:tab w:val="left" w:pos="0"/>
        </w:tabs>
        <w:spacing w:after="0"/>
        <w:contextualSpacing/>
      </w:pPr>
      <w:r>
        <w:t>Sheltered properties are shown separately as some are extremely hard to let and if they are finally let, while it is in one sense a success, the impact on</w:t>
      </w:r>
      <w:r w:rsidR="00984BA5">
        <w:t xml:space="preserve"> </w:t>
      </w:r>
      <w:r>
        <w:t xml:space="preserve">performance statistics can be </w:t>
      </w:r>
      <w:r w:rsidR="00E34CB8">
        <w:t>significant</w:t>
      </w:r>
      <w:r>
        <w:t xml:space="preserve">. </w:t>
      </w:r>
    </w:p>
    <w:p w:rsidR="0040736F" w:rsidRPr="001356F1" w:rsidRDefault="00F60B2B" w:rsidP="004A6D2F">
      <w:pPr>
        <w:pStyle w:val="Heading1"/>
      </w:pPr>
      <w:r>
        <w:t xml:space="preserve">Additional </w:t>
      </w:r>
      <w:r w:rsidR="00816489">
        <w:t>Benefits of Performance Improvement</w:t>
      </w:r>
    </w:p>
    <w:p w:rsidR="00816489" w:rsidRPr="00C419BA" w:rsidRDefault="00816489" w:rsidP="00816489">
      <w:pPr>
        <w:pStyle w:val="ListParagraph"/>
        <w:numPr>
          <w:ilvl w:val="0"/>
          <w:numId w:val="44"/>
        </w:numPr>
      </w:pPr>
      <w:r>
        <w:t>The improvement in re-let times has an impact by maximising rental income but there are also impacts in other areas. As Tenancy Management Officers are now involved in the whole process, they are able to deal with outgoing tenants in a much more managed process and in turn, it provides opportunities for properties to be advertised and prospective tenants to view properties before void property work is complete and in some cases before the former tenant has left. This means that in most cases, properties are able to be let the day that void works are finished, reducing the time that applicants are in less satisfactory accommodation.</w:t>
      </w:r>
    </w:p>
    <w:p w:rsidR="00E23ECC" w:rsidRDefault="00E87F7A" w:rsidP="00E23ECC">
      <w:pPr>
        <w:pStyle w:val="Heading1"/>
      </w:pPr>
      <w:r w:rsidRPr="001356F1">
        <w:t>Conclusion</w:t>
      </w:r>
    </w:p>
    <w:p w:rsidR="00991639" w:rsidRDefault="00816489" w:rsidP="00816489">
      <w:pPr>
        <w:pStyle w:val="ListParagraph"/>
        <w:numPr>
          <w:ilvl w:val="0"/>
          <w:numId w:val="44"/>
        </w:numPr>
      </w:pPr>
      <w:r>
        <w:t xml:space="preserve">The changes made to the operational processes in place to manage void properties have seen significant improvements in performance. </w:t>
      </w:r>
    </w:p>
    <w:p w:rsidR="00816489" w:rsidRDefault="00816489" w:rsidP="00816489">
      <w:pPr>
        <w:pStyle w:val="ListParagraph"/>
        <w:numPr>
          <w:ilvl w:val="0"/>
          <w:numId w:val="44"/>
        </w:numPr>
      </w:pPr>
      <w:r>
        <w:t>Members are asked to note the contents of the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16489" w:rsidP="00A46E98">
            <w:r>
              <w:t>Bill Graves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16489" w:rsidP="00A46E98">
            <w:r>
              <w:t>Landlord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B0298" w:rsidP="00A46E98">
            <w:r>
              <w:t>Housing &amp; Property</w:t>
            </w:r>
            <w:r w:rsidR="00816489">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16489">
            <w:r w:rsidRPr="001356F1">
              <w:t xml:space="preserve">01865 </w:t>
            </w:r>
            <w:r w:rsidR="008B0298">
              <w:t>252</w:t>
            </w:r>
            <w:r w:rsidR="00816489">
              <w:t>428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16489" w:rsidP="00A46E98">
            <w:pPr>
              <w:rPr>
                <w:rStyle w:val="Hyperlink"/>
                <w:color w:val="000000"/>
              </w:rPr>
            </w:pPr>
            <w:r>
              <w:rPr>
                <w:rStyle w:val="Hyperlink"/>
                <w:color w:val="000000"/>
              </w:rPr>
              <w:t>bgraves</w:t>
            </w:r>
            <w:r w:rsidR="008B0298">
              <w:rPr>
                <w:rStyle w:val="Hyperlink"/>
                <w:color w:val="000000"/>
              </w:rPr>
              <w:t>@oxford.gov.uk</w:t>
            </w:r>
          </w:p>
        </w:tc>
      </w:tr>
    </w:tbl>
    <w:p w:rsidR="004456DD" w:rsidRPr="009E51FC" w:rsidRDefault="004456DD" w:rsidP="00984BA5">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89" w:rsidRDefault="00502B89" w:rsidP="004A6D2F">
      <w:r>
        <w:separator/>
      </w:r>
    </w:p>
  </w:endnote>
  <w:endnote w:type="continuationSeparator" w:id="0">
    <w:p w:rsidR="00502B89" w:rsidRDefault="00502B8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Do not use a footer or page numbers.</w:t>
    </w:r>
  </w:p>
  <w:p w:rsidR="007E6199" w:rsidRDefault="007E6199" w:rsidP="004A6D2F">
    <w:pPr>
      <w:pStyle w:val="Footer"/>
    </w:pPr>
  </w:p>
  <w:p w:rsidR="007E6199" w:rsidRDefault="007E61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89" w:rsidRDefault="00502B89" w:rsidP="004A6D2F">
      <w:r>
        <w:separator/>
      </w:r>
    </w:p>
  </w:footnote>
  <w:footnote w:type="continuationSeparator" w:id="0">
    <w:p w:rsidR="00502B89" w:rsidRDefault="00502B8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0153B0"/>
    <w:multiLevelType w:val="hybridMultilevel"/>
    <w:tmpl w:val="AE7078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49C05EF"/>
    <w:multiLevelType w:val="multilevel"/>
    <w:tmpl w:val="43D6D2FA"/>
    <w:numStyleLink w:val="StyleBulletedSymbolsymbolLeft063cmHanging063cm"/>
  </w:abstractNum>
  <w:abstractNum w:abstractNumId="14">
    <w:nsid w:val="05856231"/>
    <w:multiLevelType w:val="hybridMultilevel"/>
    <w:tmpl w:val="567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7712AC6"/>
    <w:multiLevelType w:val="hybridMultilevel"/>
    <w:tmpl w:val="A78AE6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073C5F"/>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2AF4C5C"/>
    <w:multiLevelType w:val="hybridMultilevel"/>
    <w:tmpl w:val="4B345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8A1F41"/>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1D0455"/>
    <w:multiLevelType w:val="hybridMultilevel"/>
    <w:tmpl w:val="C7D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4C5070"/>
    <w:multiLevelType w:val="hybridMultilevel"/>
    <w:tmpl w:val="1A08267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31152"/>
    <w:multiLevelType w:val="hybridMultilevel"/>
    <w:tmpl w:val="73B44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FB2896"/>
    <w:multiLevelType w:val="hybridMultilevel"/>
    <w:tmpl w:val="81066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num w:numId="1">
    <w:abstractNumId w:val="33"/>
  </w:num>
  <w:num w:numId="2">
    <w:abstractNumId w:val="39"/>
  </w:num>
  <w:num w:numId="3">
    <w:abstractNumId w:val="29"/>
  </w:num>
  <w:num w:numId="4">
    <w:abstractNumId w:val="23"/>
  </w:num>
  <w:num w:numId="5">
    <w:abstractNumId w:val="35"/>
  </w:num>
  <w:num w:numId="6">
    <w:abstractNumId w:val="41"/>
  </w:num>
  <w:num w:numId="7">
    <w:abstractNumId w:val="28"/>
  </w:num>
  <w:num w:numId="8">
    <w:abstractNumId w:val="26"/>
  </w:num>
  <w:num w:numId="9">
    <w:abstractNumId w:val="16"/>
  </w:num>
  <w:num w:numId="10">
    <w:abstractNumId w:val="19"/>
  </w:num>
  <w:num w:numId="11">
    <w:abstractNumId w:val="31"/>
  </w:num>
  <w:num w:numId="12">
    <w:abstractNumId w:val="30"/>
  </w:num>
  <w:num w:numId="13">
    <w:abstractNumId w:val="10"/>
  </w:num>
  <w:num w:numId="14">
    <w:abstractNumId w:val="42"/>
  </w:num>
  <w:num w:numId="15">
    <w:abstractNumId w:val="20"/>
  </w:num>
  <w:num w:numId="16">
    <w:abstractNumId w:val="11"/>
  </w:num>
  <w:num w:numId="17">
    <w:abstractNumId w:val="34"/>
  </w:num>
  <w:num w:numId="18">
    <w:abstractNumId w:val="13"/>
  </w:num>
  <w:num w:numId="19">
    <w:abstractNumId w:val="37"/>
  </w:num>
  <w:num w:numId="20">
    <w:abstractNumId w:val="21"/>
  </w:num>
  <w:num w:numId="21">
    <w:abstractNumId w:val="27"/>
  </w:num>
  <w:num w:numId="22">
    <w:abstractNumId w:val="17"/>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4"/>
  </w:num>
  <w:num w:numId="36">
    <w:abstractNumId w:val="24"/>
  </w:num>
  <w:num w:numId="37">
    <w:abstractNumId w:val="42"/>
  </w:num>
  <w:num w:numId="38">
    <w:abstractNumId w:val="42"/>
  </w:num>
  <w:num w:numId="39">
    <w:abstractNumId w:val="18"/>
  </w:num>
  <w:num w:numId="40">
    <w:abstractNumId w:val="32"/>
  </w:num>
  <w:num w:numId="41">
    <w:abstractNumId w:val="15"/>
  </w:num>
  <w:num w:numId="42">
    <w:abstractNumId w:val="40"/>
  </w:num>
  <w:num w:numId="43">
    <w:abstractNumId w:val="36"/>
  </w:num>
  <w:num w:numId="44">
    <w:abstractNumId w:val="25"/>
  </w:num>
  <w:num w:numId="45">
    <w:abstractNumId w:val="12"/>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218"/>
    <w:rsid w:val="00045F8B"/>
    <w:rsid w:val="00046D2B"/>
    <w:rsid w:val="00056263"/>
    <w:rsid w:val="00064D8A"/>
    <w:rsid w:val="00064F82"/>
    <w:rsid w:val="00066510"/>
    <w:rsid w:val="00070DE8"/>
    <w:rsid w:val="00077523"/>
    <w:rsid w:val="000C089F"/>
    <w:rsid w:val="000C3928"/>
    <w:rsid w:val="000C5E8E"/>
    <w:rsid w:val="000F4751"/>
    <w:rsid w:val="0010524C"/>
    <w:rsid w:val="00111FB1"/>
    <w:rsid w:val="00113418"/>
    <w:rsid w:val="001356F1"/>
    <w:rsid w:val="00136994"/>
    <w:rsid w:val="0014128E"/>
    <w:rsid w:val="00151888"/>
    <w:rsid w:val="00170951"/>
    <w:rsid w:val="00170A2D"/>
    <w:rsid w:val="001808BC"/>
    <w:rsid w:val="00182B81"/>
    <w:rsid w:val="0018619D"/>
    <w:rsid w:val="001A011E"/>
    <w:rsid w:val="001A066A"/>
    <w:rsid w:val="001A13E6"/>
    <w:rsid w:val="001A5731"/>
    <w:rsid w:val="001B42C3"/>
    <w:rsid w:val="001B780C"/>
    <w:rsid w:val="001C5D5E"/>
    <w:rsid w:val="001D678D"/>
    <w:rsid w:val="001E03F8"/>
    <w:rsid w:val="001E1678"/>
    <w:rsid w:val="001E3376"/>
    <w:rsid w:val="001F7900"/>
    <w:rsid w:val="002069B3"/>
    <w:rsid w:val="00226073"/>
    <w:rsid w:val="002329CF"/>
    <w:rsid w:val="00232F5B"/>
    <w:rsid w:val="00233C3F"/>
    <w:rsid w:val="00247C29"/>
    <w:rsid w:val="00260467"/>
    <w:rsid w:val="00263EA3"/>
    <w:rsid w:val="00270F40"/>
    <w:rsid w:val="002820E0"/>
    <w:rsid w:val="00284F85"/>
    <w:rsid w:val="002859FE"/>
    <w:rsid w:val="00290915"/>
    <w:rsid w:val="002A22E2"/>
    <w:rsid w:val="002A36E8"/>
    <w:rsid w:val="002C64F7"/>
    <w:rsid w:val="002F41F2"/>
    <w:rsid w:val="00301BF3"/>
    <w:rsid w:val="0030208D"/>
    <w:rsid w:val="00323418"/>
    <w:rsid w:val="003357BF"/>
    <w:rsid w:val="00364FAD"/>
    <w:rsid w:val="0036738F"/>
    <w:rsid w:val="0036759C"/>
    <w:rsid w:val="00367AE5"/>
    <w:rsid w:val="00367D71"/>
    <w:rsid w:val="0038150A"/>
    <w:rsid w:val="00381FED"/>
    <w:rsid w:val="003B6E75"/>
    <w:rsid w:val="003B7DA1"/>
    <w:rsid w:val="003D0379"/>
    <w:rsid w:val="003D2574"/>
    <w:rsid w:val="003D4C59"/>
    <w:rsid w:val="003F4267"/>
    <w:rsid w:val="00404032"/>
    <w:rsid w:val="004053E3"/>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0136"/>
    <w:rsid w:val="004C2887"/>
    <w:rsid w:val="004D2626"/>
    <w:rsid w:val="004D481B"/>
    <w:rsid w:val="004D6E26"/>
    <w:rsid w:val="004D77D3"/>
    <w:rsid w:val="004E2959"/>
    <w:rsid w:val="004F20EF"/>
    <w:rsid w:val="00502B89"/>
    <w:rsid w:val="0050321C"/>
    <w:rsid w:val="00505C90"/>
    <w:rsid w:val="00505F57"/>
    <w:rsid w:val="005234EC"/>
    <w:rsid w:val="0054712D"/>
    <w:rsid w:val="00547EF6"/>
    <w:rsid w:val="005570B5"/>
    <w:rsid w:val="005573DA"/>
    <w:rsid w:val="00567E18"/>
    <w:rsid w:val="00575F5F"/>
    <w:rsid w:val="00581805"/>
    <w:rsid w:val="00585F76"/>
    <w:rsid w:val="005A34E4"/>
    <w:rsid w:val="005B17F2"/>
    <w:rsid w:val="005B7FB0"/>
    <w:rsid w:val="005C29A4"/>
    <w:rsid w:val="005C35A5"/>
    <w:rsid w:val="005C577C"/>
    <w:rsid w:val="005D0621"/>
    <w:rsid w:val="005D1E27"/>
    <w:rsid w:val="005D2A3E"/>
    <w:rsid w:val="005E022E"/>
    <w:rsid w:val="005E5215"/>
    <w:rsid w:val="005F7F7E"/>
    <w:rsid w:val="0060124B"/>
    <w:rsid w:val="00607BDF"/>
    <w:rsid w:val="00614693"/>
    <w:rsid w:val="00623C2F"/>
    <w:rsid w:val="00633578"/>
    <w:rsid w:val="00637068"/>
    <w:rsid w:val="00650811"/>
    <w:rsid w:val="00661D3E"/>
    <w:rsid w:val="00673380"/>
    <w:rsid w:val="00692627"/>
    <w:rsid w:val="006969E7"/>
    <w:rsid w:val="006A3643"/>
    <w:rsid w:val="006B0399"/>
    <w:rsid w:val="006B3551"/>
    <w:rsid w:val="006C2A29"/>
    <w:rsid w:val="006C64CF"/>
    <w:rsid w:val="006D17B1"/>
    <w:rsid w:val="006D4752"/>
    <w:rsid w:val="006D708A"/>
    <w:rsid w:val="006D7DAB"/>
    <w:rsid w:val="006E14C1"/>
    <w:rsid w:val="006F0292"/>
    <w:rsid w:val="006F27FA"/>
    <w:rsid w:val="006F3D09"/>
    <w:rsid w:val="006F416B"/>
    <w:rsid w:val="006F4442"/>
    <w:rsid w:val="006F519B"/>
    <w:rsid w:val="00701603"/>
    <w:rsid w:val="0070742C"/>
    <w:rsid w:val="00713675"/>
    <w:rsid w:val="00715823"/>
    <w:rsid w:val="00736B02"/>
    <w:rsid w:val="00737B93"/>
    <w:rsid w:val="00745BF0"/>
    <w:rsid w:val="007615FE"/>
    <w:rsid w:val="00762ECF"/>
    <w:rsid w:val="0076655C"/>
    <w:rsid w:val="007742DC"/>
    <w:rsid w:val="00791437"/>
    <w:rsid w:val="007A09D6"/>
    <w:rsid w:val="007A6122"/>
    <w:rsid w:val="007B0C2C"/>
    <w:rsid w:val="007B278E"/>
    <w:rsid w:val="007C5C23"/>
    <w:rsid w:val="007C6FCE"/>
    <w:rsid w:val="007E2A26"/>
    <w:rsid w:val="007E6199"/>
    <w:rsid w:val="007F2348"/>
    <w:rsid w:val="00803F07"/>
    <w:rsid w:val="0080749A"/>
    <w:rsid w:val="00816489"/>
    <w:rsid w:val="00821FB8"/>
    <w:rsid w:val="00822ACD"/>
    <w:rsid w:val="00855C66"/>
    <w:rsid w:val="00871EE4"/>
    <w:rsid w:val="008A3F70"/>
    <w:rsid w:val="008A43AA"/>
    <w:rsid w:val="008B0298"/>
    <w:rsid w:val="008B293F"/>
    <w:rsid w:val="008B7371"/>
    <w:rsid w:val="008D3DDB"/>
    <w:rsid w:val="008F573F"/>
    <w:rsid w:val="009034EC"/>
    <w:rsid w:val="0093067A"/>
    <w:rsid w:val="00941C60"/>
    <w:rsid w:val="00941FD1"/>
    <w:rsid w:val="00961DA6"/>
    <w:rsid w:val="00966D42"/>
    <w:rsid w:val="009704AE"/>
    <w:rsid w:val="00971689"/>
    <w:rsid w:val="00973E90"/>
    <w:rsid w:val="00975B07"/>
    <w:rsid w:val="00980B4A"/>
    <w:rsid w:val="00984BA5"/>
    <w:rsid w:val="00991639"/>
    <w:rsid w:val="009C4D6D"/>
    <w:rsid w:val="009D2744"/>
    <w:rsid w:val="009E3D0A"/>
    <w:rsid w:val="009E51FC"/>
    <w:rsid w:val="009F1D28"/>
    <w:rsid w:val="009F7618"/>
    <w:rsid w:val="00A0177B"/>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03E7B"/>
    <w:rsid w:val="00B500CA"/>
    <w:rsid w:val="00B86314"/>
    <w:rsid w:val="00B87A5B"/>
    <w:rsid w:val="00BA1C2E"/>
    <w:rsid w:val="00BC200B"/>
    <w:rsid w:val="00BC4756"/>
    <w:rsid w:val="00BC69A4"/>
    <w:rsid w:val="00BE0680"/>
    <w:rsid w:val="00BE305F"/>
    <w:rsid w:val="00BE7BA3"/>
    <w:rsid w:val="00BF3139"/>
    <w:rsid w:val="00BF5682"/>
    <w:rsid w:val="00BF7B09"/>
    <w:rsid w:val="00C20A95"/>
    <w:rsid w:val="00C2692F"/>
    <w:rsid w:val="00C3207C"/>
    <w:rsid w:val="00C400E1"/>
    <w:rsid w:val="00C41187"/>
    <w:rsid w:val="00C419BA"/>
    <w:rsid w:val="00C44BAE"/>
    <w:rsid w:val="00C46CF2"/>
    <w:rsid w:val="00C63C31"/>
    <w:rsid w:val="00C757A0"/>
    <w:rsid w:val="00C760DE"/>
    <w:rsid w:val="00C82630"/>
    <w:rsid w:val="00C85B4E"/>
    <w:rsid w:val="00C907F7"/>
    <w:rsid w:val="00CA2103"/>
    <w:rsid w:val="00CB0081"/>
    <w:rsid w:val="00CB6B99"/>
    <w:rsid w:val="00CD1E69"/>
    <w:rsid w:val="00CE4C87"/>
    <w:rsid w:val="00CE544A"/>
    <w:rsid w:val="00D0548E"/>
    <w:rsid w:val="00D11E1C"/>
    <w:rsid w:val="00D160B0"/>
    <w:rsid w:val="00D17F94"/>
    <w:rsid w:val="00D223FC"/>
    <w:rsid w:val="00D26D1E"/>
    <w:rsid w:val="00D27E0D"/>
    <w:rsid w:val="00D474CF"/>
    <w:rsid w:val="00D5547E"/>
    <w:rsid w:val="00D57F03"/>
    <w:rsid w:val="00D869A1"/>
    <w:rsid w:val="00DA413F"/>
    <w:rsid w:val="00DA4584"/>
    <w:rsid w:val="00DA614B"/>
    <w:rsid w:val="00DC0178"/>
    <w:rsid w:val="00DC3060"/>
    <w:rsid w:val="00DE0FB2"/>
    <w:rsid w:val="00DF093E"/>
    <w:rsid w:val="00E01F42"/>
    <w:rsid w:val="00E108F7"/>
    <w:rsid w:val="00E206D6"/>
    <w:rsid w:val="00E23ECC"/>
    <w:rsid w:val="00E3366E"/>
    <w:rsid w:val="00E34CB8"/>
    <w:rsid w:val="00E45927"/>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428"/>
    <w:rsid w:val="00F3566E"/>
    <w:rsid w:val="00F375FB"/>
    <w:rsid w:val="00F41AC1"/>
    <w:rsid w:val="00F4367A"/>
    <w:rsid w:val="00F445B1"/>
    <w:rsid w:val="00F44C2D"/>
    <w:rsid w:val="00F45CD4"/>
    <w:rsid w:val="00F60B2B"/>
    <w:rsid w:val="00F66DCA"/>
    <w:rsid w:val="00F74F53"/>
    <w:rsid w:val="00F7606D"/>
    <w:rsid w:val="00F77127"/>
    <w:rsid w:val="00F81670"/>
    <w:rsid w:val="00F82024"/>
    <w:rsid w:val="00F829BD"/>
    <w:rsid w:val="00F91F70"/>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BDA0-6D1E-4C06-90C8-25E48B5F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8</TotalTime>
  <Pages>3</Pages>
  <Words>753</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2</cp:revision>
  <cp:lastPrinted>2015-07-03T13:50:00Z</cp:lastPrinted>
  <dcterms:created xsi:type="dcterms:W3CDTF">2017-11-03T15:27:00Z</dcterms:created>
  <dcterms:modified xsi:type="dcterms:W3CDTF">2017-11-03T15:27:00Z</dcterms:modified>
</cp:coreProperties>
</file>